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黑体" w:hAnsi="黑体" w:eastAsia="黑体" w:cs="黑体"/>
          <w:spacing w:val="11"/>
          <w:sz w:val="32"/>
          <w:szCs w:val="32"/>
          <w:lang w:val="en-US" w:eastAsia="zh-CN"/>
        </w:rPr>
      </w:pPr>
      <w:r>
        <w:rPr>
          <w:rFonts w:hint="eastAsia" w:ascii="黑体" w:hAnsi="黑体" w:eastAsia="黑体" w:cs="黑体"/>
          <w:spacing w:val="11"/>
          <w:sz w:val="32"/>
          <w:szCs w:val="32"/>
          <w:lang w:eastAsia="zh-CN"/>
        </w:rPr>
        <w:t>附件</w:t>
      </w:r>
      <w:r>
        <w:rPr>
          <w:rFonts w:hint="eastAsia" w:ascii="黑体" w:hAnsi="黑体" w:eastAsia="黑体" w:cs="黑体"/>
          <w:spacing w:val="11"/>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pacing w:val="11"/>
          <w:sz w:val="44"/>
          <w:szCs w:val="44"/>
          <w:lang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pacing w:val="11"/>
          <w:sz w:val="44"/>
          <w:szCs w:val="44"/>
          <w:lang w:eastAsia="zh-CN"/>
        </w:rPr>
      </w:pPr>
      <w:r>
        <w:rPr>
          <w:rFonts w:hint="eastAsia" w:ascii="方正小标宋简体" w:hAnsi="方正小标宋简体" w:eastAsia="方正小标宋简体" w:cs="方正小标宋简体"/>
          <w:spacing w:val="11"/>
          <w:sz w:val="44"/>
          <w:szCs w:val="44"/>
          <w:lang w:eastAsia="zh-CN"/>
        </w:rPr>
        <w:t>安徽省新时代人民政协理论和实践</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pacing w:val="11"/>
          <w:sz w:val="44"/>
          <w:szCs w:val="44"/>
          <w:lang w:eastAsia="zh-CN"/>
        </w:rPr>
      </w:pPr>
      <w:r>
        <w:rPr>
          <w:rFonts w:hint="eastAsia" w:ascii="方正小标宋简体" w:hAnsi="方正小标宋简体" w:eastAsia="方正小标宋简体" w:cs="方正小标宋简体"/>
          <w:spacing w:val="11"/>
          <w:sz w:val="44"/>
          <w:szCs w:val="44"/>
          <w:lang w:eastAsia="zh-CN"/>
        </w:rPr>
        <w:t>研究基地2020年度</w:t>
      </w:r>
      <w:r>
        <w:rPr>
          <w:rFonts w:hint="eastAsia" w:ascii="方正小标宋简体" w:hAnsi="方正小标宋简体" w:eastAsia="方正小标宋简体" w:cs="方正小标宋简体"/>
          <w:spacing w:val="11"/>
          <w:sz w:val="44"/>
          <w:szCs w:val="44"/>
          <w:lang w:val="en-US" w:eastAsia="zh-CN"/>
        </w:rPr>
        <w:t>课题</w:t>
      </w:r>
      <w:r>
        <w:rPr>
          <w:rFonts w:hint="eastAsia" w:ascii="方正小标宋简体" w:hAnsi="方正小标宋简体" w:eastAsia="方正小标宋简体" w:cs="方正小标宋简体"/>
          <w:spacing w:val="11"/>
          <w:sz w:val="44"/>
          <w:szCs w:val="44"/>
          <w:lang w:eastAsia="zh-CN"/>
        </w:rPr>
        <w:t>研究参考选题</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pacing w:val="11"/>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684" w:firstLineChars="200"/>
        <w:jc w:val="both"/>
        <w:textAlignment w:val="auto"/>
        <w:rPr>
          <w:rFonts w:hint="eastAsia" w:ascii="仿宋_GB2312" w:hAnsi="仿宋_GB2312" w:eastAsia="仿宋_GB2312" w:cs="仿宋_GB2312"/>
          <w:spacing w:val="11"/>
          <w:sz w:val="32"/>
          <w:szCs w:val="32"/>
          <w:lang w:val="en-US" w:eastAsia="zh-CN"/>
        </w:rPr>
      </w:pPr>
      <w:r>
        <w:rPr>
          <w:rFonts w:hint="eastAsia" w:ascii="黑体" w:hAnsi="黑体" w:eastAsia="黑体" w:cs="黑体"/>
          <w:spacing w:val="11"/>
          <w:sz w:val="32"/>
          <w:szCs w:val="32"/>
          <w:lang w:val="en-US" w:eastAsia="zh-CN"/>
        </w:rPr>
        <w:t>一、加强党对人民政协工作的领导研究</w:t>
      </w:r>
    </w:p>
    <w:p>
      <w:pPr>
        <w:keepNext w:val="0"/>
        <w:keepLines w:val="0"/>
        <w:pageBreakBefore w:val="0"/>
        <w:widowControl w:val="0"/>
        <w:kinsoku/>
        <w:wordWrap/>
        <w:overflowPunct/>
        <w:topLinePunct w:val="0"/>
        <w:autoSpaceDE/>
        <w:autoSpaceDN/>
        <w:bidi w:val="0"/>
        <w:adjustRightInd/>
        <w:snapToGrid/>
        <w:spacing w:line="640" w:lineRule="exact"/>
        <w:ind w:firstLine="684" w:firstLineChars="200"/>
        <w:jc w:val="both"/>
        <w:textAlignment w:val="auto"/>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lang w:val="en-US" w:eastAsia="zh-CN"/>
        </w:rPr>
        <w:t>1.如何推深做实我省政协“一入四建”工作</w:t>
      </w:r>
    </w:p>
    <w:p>
      <w:pPr>
        <w:keepNext w:val="0"/>
        <w:keepLines w:val="0"/>
        <w:pageBreakBefore w:val="0"/>
        <w:widowControl w:val="0"/>
        <w:kinsoku/>
        <w:wordWrap/>
        <w:overflowPunct/>
        <w:topLinePunct w:val="0"/>
        <w:autoSpaceDE/>
        <w:autoSpaceDN/>
        <w:bidi w:val="0"/>
        <w:adjustRightInd/>
        <w:snapToGrid/>
        <w:spacing w:line="640" w:lineRule="exact"/>
        <w:ind w:firstLine="684" w:firstLineChars="200"/>
        <w:jc w:val="both"/>
        <w:textAlignment w:val="auto"/>
        <w:rPr>
          <w:rFonts w:hint="eastAsia" w:ascii="黑体" w:hAnsi="黑体" w:eastAsia="黑体" w:cs="黑体"/>
          <w:spacing w:val="11"/>
          <w:sz w:val="32"/>
          <w:szCs w:val="32"/>
          <w:lang w:val="en-US" w:eastAsia="zh-CN"/>
        </w:rPr>
      </w:pPr>
      <w:r>
        <w:rPr>
          <w:rFonts w:hint="eastAsia" w:ascii="黑体" w:hAnsi="黑体" w:eastAsia="黑体" w:cs="黑体"/>
          <w:spacing w:val="11"/>
          <w:sz w:val="32"/>
          <w:szCs w:val="32"/>
          <w:lang w:val="en-US" w:eastAsia="zh-CN"/>
        </w:rPr>
        <w:t>二、发挥人民政协专门协商机构作用研究</w:t>
      </w:r>
    </w:p>
    <w:p>
      <w:pPr>
        <w:keepNext w:val="0"/>
        <w:keepLines w:val="0"/>
        <w:pageBreakBefore w:val="0"/>
        <w:widowControl w:val="0"/>
        <w:kinsoku/>
        <w:wordWrap/>
        <w:overflowPunct/>
        <w:topLinePunct w:val="0"/>
        <w:autoSpaceDE/>
        <w:autoSpaceDN/>
        <w:bidi w:val="0"/>
        <w:adjustRightInd/>
        <w:snapToGrid/>
        <w:spacing w:line="640" w:lineRule="exact"/>
        <w:ind w:firstLine="684" w:firstLineChars="200"/>
        <w:jc w:val="both"/>
        <w:textAlignment w:val="auto"/>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lang w:val="en-US" w:eastAsia="zh-CN"/>
        </w:rPr>
        <w:t>2.专门协商机构在国家治理体系中的定位和运行机理研究</w:t>
      </w:r>
    </w:p>
    <w:p>
      <w:pPr>
        <w:keepNext w:val="0"/>
        <w:keepLines w:val="0"/>
        <w:pageBreakBefore w:val="0"/>
        <w:widowControl w:val="0"/>
        <w:kinsoku/>
        <w:wordWrap/>
        <w:overflowPunct/>
        <w:topLinePunct w:val="0"/>
        <w:autoSpaceDE/>
        <w:autoSpaceDN/>
        <w:bidi w:val="0"/>
        <w:adjustRightInd/>
        <w:snapToGrid/>
        <w:spacing w:line="640" w:lineRule="exact"/>
        <w:ind w:firstLine="684" w:firstLineChars="200"/>
        <w:jc w:val="both"/>
        <w:textAlignment w:val="auto"/>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lang w:val="en-US" w:eastAsia="zh-CN"/>
        </w:rPr>
        <w:t>3.发挥专门协商机构作用服务党政中心工作机制研究</w:t>
      </w:r>
    </w:p>
    <w:p>
      <w:pPr>
        <w:keepNext w:val="0"/>
        <w:keepLines w:val="0"/>
        <w:pageBreakBefore w:val="0"/>
        <w:widowControl w:val="0"/>
        <w:kinsoku/>
        <w:wordWrap/>
        <w:overflowPunct/>
        <w:topLinePunct w:val="0"/>
        <w:autoSpaceDE/>
        <w:autoSpaceDN/>
        <w:bidi w:val="0"/>
        <w:adjustRightInd/>
        <w:snapToGrid/>
        <w:spacing w:line="640" w:lineRule="exact"/>
        <w:ind w:firstLine="684" w:firstLineChars="200"/>
        <w:jc w:val="both"/>
        <w:textAlignment w:val="auto"/>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lang w:val="en-US" w:eastAsia="zh-CN"/>
        </w:rPr>
        <w:t>4.完善发挥人民政协专门协商机构作用的制度机制研究</w:t>
      </w:r>
    </w:p>
    <w:p>
      <w:pPr>
        <w:keepNext w:val="0"/>
        <w:keepLines w:val="0"/>
        <w:pageBreakBefore w:val="0"/>
        <w:widowControl w:val="0"/>
        <w:kinsoku/>
        <w:wordWrap/>
        <w:overflowPunct/>
        <w:topLinePunct w:val="0"/>
        <w:autoSpaceDE/>
        <w:autoSpaceDN/>
        <w:bidi w:val="0"/>
        <w:adjustRightInd/>
        <w:snapToGrid/>
        <w:spacing w:line="640" w:lineRule="exact"/>
        <w:ind w:firstLine="684" w:firstLineChars="200"/>
        <w:jc w:val="both"/>
        <w:textAlignment w:val="auto"/>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lang w:val="en-US" w:eastAsia="zh-CN"/>
        </w:rPr>
        <w:t>5.加强人民政协协商专业化建设、提高协商能力研究</w:t>
      </w:r>
    </w:p>
    <w:p>
      <w:pPr>
        <w:keepNext w:val="0"/>
        <w:keepLines w:val="0"/>
        <w:pageBreakBefore w:val="0"/>
        <w:widowControl w:val="0"/>
        <w:kinsoku/>
        <w:wordWrap/>
        <w:overflowPunct/>
        <w:topLinePunct w:val="0"/>
        <w:autoSpaceDE/>
        <w:autoSpaceDN/>
        <w:bidi w:val="0"/>
        <w:adjustRightInd/>
        <w:snapToGrid/>
        <w:spacing w:line="640" w:lineRule="exact"/>
        <w:ind w:firstLine="684" w:firstLineChars="200"/>
        <w:jc w:val="both"/>
        <w:textAlignment w:val="auto"/>
        <w:rPr>
          <w:rFonts w:hint="default"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lang w:val="en-US" w:eastAsia="zh-CN"/>
        </w:rPr>
        <w:t>6.发挥人民政协专门委员会基础性作用研究</w:t>
      </w:r>
    </w:p>
    <w:p>
      <w:pPr>
        <w:keepNext w:val="0"/>
        <w:keepLines w:val="0"/>
        <w:pageBreakBefore w:val="0"/>
        <w:widowControl w:val="0"/>
        <w:kinsoku/>
        <w:wordWrap/>
        <w:overflowPunct/>
        <w:topLinePunct w:val="0"/>
        <w:autoSpaceDE/>
        <w:autoSpaceDN/>
        <w:bidi w:val="0"/>
        <w:adjustRightInd/>
        <w:snapToGrid/>
        <w:spacing w:line="640" w:lineRule="exact"/>
        <w:ind w:firstLine="684" w:firstLineChars="200"/>
        <w:jc w:val="both"/>
        <w:textAlignment w:val="auto"/>
        <w:rPr>
          <w:rFonts w:hint="eastAsia" w:ascii="黑体" w:hAnsi="黑体" w:eastAsia="黑体" w:cs="黑体"/>
          <w:spacing w:val="11"/>
          <w:sz w:val="32"/>
          <w:szCs w:val="32"/>
          <w:lang w:val="en-US" w:eastAsia="zh-CN"/>
        </w:rPr>
      </w:pPr>
      <w:r>
        <w:rPr>
          <w:rFonts w:hint="eastAsia" w:ascii="黑体" w:hAnsi="黑体" w:eastAsia="黑体" w:cs="黑体"/>
          <w:spacing w:val="11"/>
          <w:sz w:val="32"/>
          <w:szCs w:val="32"/>
          <w:lang w:val="en-US" w:eastAsia="zh-CN"/>
        </w:rPr>
        <w:t>三、把加强思想政治引领、广泛凝聚共识作为人民政协履职工作的中心环节研究</w:t>
      </w:r>
    </w:p>
    <w:p>
      <w:pPr>
        <w:keepNext w:val="0"/>
        <w:keepLines w:val="0"/>
        <w:pageBreakBefore w:val="0"/>
        <w:widowControl w:val="0"/>
        <w:kinsoku/>
        <w:wordWrap/>
        <w:overflowPunct/>
        <w:topLinePunct w:val="0"/>
        <w:autoSpaceDE/>
        <w:autoSpaceDN/>
        <w:bidi w:val="0"/>
        <w:adjustRightInd/>
        <w:snapToGrid/>
        <w:spacing w:line="640" w:lineRule="exact"/>
        <w:ind w:firstLine="684" w:firstLineChars="200"/>
        <w:jc w:val="both"/>
        <w:textAlignment w:val="auto"/>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lang w:val="en-US" w:eastAsia="zh-CN"/>
        </w:rPr>
        <w:t>7.人民政协如何通过有效工作，努力成为坚持和加强党对各项工作领导的重要阵地、用党的创新理论团结教育引导各族各界代表人士的重要平台、在共同思想政治基础上化解矛盾和凝聚共识的重要渠道</w:t>
      </w:r>
    </w:p>
    <w:p>
      <w:pPr>
        <w:keepNext w:val="0"/>
        <w:keepLines w:val="0"/>
        <w:pageBreakBefore w:val="0"/>
        <w:widowControl w:val="0"/>
        <w:kinsoku/>
        <w:wordWrap/>
        <w:overflowPunct/>
        <w:topLinePunct w:val="0"/>
        <w:autoSpaceDE/>
        <w:autoSpaceDN/>
        <w:bidi w:val="0"/>
        <w:adjustRightInd/>
        <w:snapToGrid/>
        <w:spacing w:line="640" w:lineRule="exact"/>
        <w:ind w:firstLine="684" w:firstLineChars="200"/>
        <w:jc w:val="both"/>
        <w:textAlignment w:val="auto"/>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lang w:val="en-US" w:eastAsia="zh-CN"/>
        </w:rPr>
        <w:t>8.如何把凝聚共识与政治协商、民主监督、参政议政一道作为主要职能，落实到人民政协工作的各方面和全过程</w:t>
      </w:r>
    </w:p>
    <w:p>
      <w:pPr>
        <w:keepNext w:val="0"/>
        <w:keepLines w:val="0"/>
        <w:pageBreakBefore w:val="0"/>
        <w:widowControl w:val="0"/>
        <w:kinsoku/>
        <w:wordWrap/>
        <w:overflowPunct/>
        <w:topLinePunct w:val="0"/>
        <w:autoSpaceDE/>
        <w:autoSpaceDN/>
        <w:bidi w:val="0"/>
        <w:adjustRightInd/>
        <w:snapToGrid/>
        <w:spacing w:line="640" w:lineRule="exact"/>
        <w:ind w:firstLine="684" w:firstLineChars="200"/>
        <w:jc w:val="both"/>
        <w:textAlignment w:val="auto"/>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lang w:val="en-US" w:eastAsia="zh-CN"/>
        </w:rPr>
        <w:t>9.完善人民政协建言资政和凝聚共识双向发力的制度、程序、机制研究</w:t>
      </w:r>
    </w:p>
    <w:p>
      <w:pPr>
        <w:keepNext w:val="0"/>
        <w:keepLines w:val="0"/>
        <w:pageBreakBefore w:val="0"/>
        <w:widowControl w:val="0"/>
        <w:kinsoku/>
        <w:wordWrap/>
        <w:overflowPunct/>
        <w:topLinePunct w:val="0"/>
        <w:autoSpaceDE/>
        <w:autoSpaceDN/>
        <w:bidi w:val="0"/>
        <w:adjustRightInd/>
        <w:snapToGrid/>
        <w:spacing w:line="640" w:lineRule="exact"/>
        <w:ind w:firstLine="684" w:firstLineChars="200"/>
        <w:jc w:val="both"/>
        <w:textAlignment w:val="auto"/>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lang w:val="en-US" w:eastAsia="zh-CN"/>
        </w:rPr>
        <w:t>10.如何评价凝聚共识的效果，加强和改进凝聚共识工作</w:t>
      </w:r>
    </w:p>
    <w:p>
      <w:pPr>
        <w:keepNext w:val="0"/>
        <w:keepLines w:val="0"/>
        <w:pageBreakBefore w:val="0"/>
        <w:widowControl w:val="0"/>
        <w:kinsoku/>
        <w:wordWrap/>
        <w:overflowPunct/>
        <w:topLinePunct w:val="0"/>
        <w:autoSpaceDE/>
        <w:autoSpaceDN/>
        <w:bidi w:val="0"/>
        <w:adjustRightInd/>
        <w:snapToGrid/>
        <w:spacing w:line="640" w:lineRule="exact"/>
        <w:ind w:firstLine="684" w:firstLineChars="200"/>
        <w:jc w:val="both"/>
        <w:textAlignment w:val="auto"/>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lang w:val="en-US" w:eastAsia="zh-CN"/>
        </w:rPr>
        <w:t>11.加强和改进我省政协凝聚共识工作研究</w:t>
      </w:r>
    </w:p>
    <w:p>
      <w:pPr>
        <w:keepNext w:val="0"/>
        <w:keepLines w:val="0"/>
        <w:pageBreakBefore w:val="0"/>
        <w:widowControl w:val="0"/>
        <w:kinsoku/>
        <w:wordWrap/>
        <w:overflowPunct/>
        <w:topLinePunct w:val="0"/>
        <w:autoSpaceDE/>
        <w:autoSpaceDN/>
        <w:bidi w:val="0"/>
        <w:adjustRightInd/>
        <w:snapToGrid/>
        <w:spacing w:line="640" w:lineRule="exact"/>
        <w:ind w:firstLine="684" w:firstLineChars="200"/>
        <w:jc w:val="both"/>
        <w:textAlignment w:val="auto"/>
        <w:rPr>
          <w:rFonts w:hint="eastAsia" w:ascii="黑体" w:hAnsi="黑体" w:eastAsia="黑体" w:cs="黑体"/>
          <w:spacing w:val="11"/>
          <w:sz w:val="32"/>
          <w:szCs w:val="32"/>
          <w:lang w:val="en-US" w:eastAsia="zh-CN"/>
        </w:rPr>
      </w:pPr>
      <w:r>
        <w:rPr>
          <w:rFonts w:hint="eastAsia" w:ascii="黑体" w:hAnsi="黑体" w:eastAsia="黑体" w:cs="黑体"/>
          <w:spacing w:val="11"/>
          <w:sz w:val="32"/>
          <w:szCs w:val="32"/>
          <w:lang w:val="en-US" w:eastAsia="zh-CN"/>
        </w:rPr>
        <w:t>四、人民政协与推进国家治理体系和治理能力现代化研究</w:t>
      </w:r>
    </w:p>
    <w:p>
      <w:pPr>
        <w:keepNext w:val="0"/>
        <w:keepLines w:val="0"/>
        <w:pageBreakBefore w:val="0"/>
        <w:widowControl w:val="0"/>
        <w:kinsoku/>
        <w:wordWrap/>
        <w:overflowPunct/>
        <w:topLinePunct w:val="0"/>
        <w:autoSpaceDE/>
        <w:autoSpaceDN/>
        <w:bidi w:val="0"/>
        <w:adjustRightInd/>
        <w:snapToGrid/>
        <w:spacing w:line="640" w:lineRule="exact"/>
        <w:ind w:firstLine="684" w:firstLineChars="200"/>
        <w:jc w:val="both"/>
        <w:textAlignment w:val="auto"/>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lang w:val="en-US" w:eastAsia="zh-CN"/>
        </w:rPr>
        <w:t>12.如何从国家制度层面认识、理解人民政协制度</w:t>
      </w:r>
    </w:p>
    <w:p>
      <w:pPr>
        <w:keepNext w:val="0"/>
        <w:keepLines w:val="0"/>
        <w:pageBreakBefore w:val="0"/>
        <w:widowControl w:val="0"/>
        <w:kinsoku/>
        <w:wordWrap/>
        <w:overflowPunct/>
        <w:topLinePunct w:val="0"/>
        <w:autoSpaceDE/>
        <w:autoSpaceDN/>
        <w:bidi w:val="0"/>
        <w:adjustRightInd/>
        <w:snapToGrid/>
        <w:spacing w:line="640" w:lineRule="exact"/>
        <w:ind w:firstLine="684" w:firstLineChars="200"/>
        <w:jc w:val="both"/>
        <w:textAlignment w:val="auto"/>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lang w:val="en-US" w:eastAsia="zh-CN"/>
        </w:rPr>
        <w:t>13.人民政协制度优势如何转化为国家治理效能研究</w:t>
      </w:r>
    </w:p>
    <w:p>
      <w:pPr>
        <w:keepNext w:val="0"/>
        <w:keepLines w:val="0"/>
        <w:pageBreakBefore w:val="0"/>
        <w:widowControl w:val="0"/>
        <w:kinsoku/>
        <w:wordWrap/>
        <w:overflowPunct/>
        <w:topLinePunct w:val="0"/>
        <w:autoSpaceDE/>
        <w:autoSpaceDN/>
        <w:bidi w:val="0"/>
        <w:adjustRightInd/>
        <w:snapToGrid/>
        <w:spacing w:line="640" w:lineRule="exact"/>
        <w:ind w:firstLine="684" w:firstLineChars="200"/>
        <w:jc w:val="both"/>
        <w:textAlignment w:val="auto"/>
        <w:rPr>
          <w:rFonts w:hint="eastAsia" w:ascii="黑体" w:hAnsi="黑体" w:eastAsia="黑体" w:cs="黑体"/>
          <w:spacing w:val="11"/>
          <w:sz w:val="32"/>
          <w:szCs w:val="32"/>
          <w:lang w:val="en-US" w:eastAsia="zh-CN"/>
        </w:rPr>
      </w:pPr>
      <w:r>
        <w:rPr>
          <w:rFonts w:hint="eastAsia" w:ascii="黑体" w:hAnsi="黑体" w:eastAsia="黑体" w:cs="黑体"/>
          <w:spacing w:val="11"/>
          <w:sz w:val="32"/>
          <w:szCs w:val="32"/>
          <w:lang w:val="en-US" w:eastAsia="zh-CN"/>
        </w:rPr>
        <w:t>五、人民政协是实行我国新型政党制度的重要政治形式和组织形式研究</w:t>
      </w:r>
    </w:p>
    <w:p>
      <w:pPr>
        <w:keepNext w:val="0"/>
        <w:keepLines w:val="0"/>
        <w:pageBreakBefore w:val="0"/>
        <w:widowControl w:val="0"/>
        <w:kinsoku/>
        <w:wordWrap/>
        <w:overflowPunct/>
        <w:topLinePunct w:val="0"/>
        <w:autoSpaceDE/>
        <w:autoSpaceDN/>
        <w:bidi w:val="0"/>
        <w:adjustRightInd/>
        <w:snapToGrid/>
        <w:spacing w:line="640" w:lineRule="exact"/>
        <w:ind w:firstLine="684" w:firstLineChars="200"/>
        <w:jc w:val="both"/>
        <w:textAlignment w:val="auto"/>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lang w:val="en-US" w:eastAsia="zh-CN"/>
        </w:rPr>
        <w:t>14.加强人民政协作为各党派团体和各族各界人士组成的政治共同体建设研究</w:t>
      </w:r>
    </w:p>
    <w:p>
      <w:pPr>
        <w:keepNext w:val="0"/>
        <w:keepLines w:val="0"/>
        <w:pageBreakBefore w:val="0"/>
        <w:widowControl w:val="0"/>
        <w:kinsoku/>
        <w:wordWrap/>
        <w:overflowPunct/>
        <w:topLinePunct w:val="0"/>
        <w:autoSpaceDE/>
        <w:autoSpaceDN/>
        <w:bidi w:val="0"/>
        <w:adjustRightInd/>
        <w:snapToGrid/>
        <w:spacing w:line="640" w:lineRule="exact"/>
        <w:ind w:firstLine="684" w:firstLineChars="200"/>
        <w:jc w:val="both"/>
        <w:textAlignment w:val="auto"/>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lang w:val="en-US" w:eastAsia="zh-CN"/>
        </w:rPr>
        <w:t>15.健全发挥新型政党制度优势的机制研究</w:t>
      </w:r>
      <w:bookmarkStart w:id="0" w:name="_GoBack"/>
      <w:bookmarkEnd w:id="0"/>
    </w:p>
    <w:p>
      <w:pPr>
        <w:keepNext w:val="0"/>
        <w:keepLines w:val="0"/>
        <w:pageBreakBefore w:val="0"/>
        <w:widowControl w:val="0"/>
        <w:kinsoku/>
        <w:wordWrap/>
        <w:overflowPunct/>
        <w:topLinePunct w:val="0"/>
        <w:autoSpaceDE/>
        <w:autoSpaceDN/>
        <w:bidi w:val="0"/>
        <w:adjustRightInd/>
        <w:snapToGrid/>
        <w:spacing w:line="640" w:lineRule="exact"/>
        <w:ind w:firstLine="684" w:firstLineChars="200"/>
        <w:jc w:val="both"/>
        <w:textAlignment w:val="auto"/>
        <w:rPr>
          <w:rFonts w:hint="eastAsia" w:ascii="黑体" w:hAnsi="黑体" w:eastAsia="黑体" w:cs="黑体"/>
          <w:spacing w:val="11"/>
          <w:sz w:val="32"/>
          <w:szCs w:val="32"/>
          <w:lang w:val="en-US" w:eastAsia="zh-CN"/>
        </w:rPr>
      </w:pPr>
      <w:r>
        <w:rPr>
          <w:rFonts w:hint="eastAsia" w:ascii="黑体" w:hAnsi="黑体" w:eastAsia="黑体" w:cs="黑体"/>
          <w:spacing w:val="11"/>
          <w:sz w:val="32"/>
          <w:szCs w:val="32"/>
          <w:lang w:val="en-US" w:eastAsia="zh-CN"/>
        </w:rPr>
        <w:t>六、强化政协委员责任担当研究</w:t>
      </w:r>
    </w:p>
    <w:p>
      <w:pPr>
        <w:keepNext w:val="0"/>
        <w:keepLines w:val="0"/>
        <w:pageBreakBefore w:val="0"/>
        <w:widowControl w:val="0"/>
        <w:kinsoku/>
        <w:wordWrap/>
        <w:overflowPunct/>
        <w:topLinePunct w:val="0"/>
        <w:autoSpaceDE/>
        <w:autoSpaceDN/>
        <w:bidi w:val="0"/>
        <w:adjustRightInd/>
        <w:snapToGrid/>
        <w:spacing w:line="640" w:lineRule="exact"/>
        <w:ind w:firstLine="684" w:firstLineChars="200"/>
        <w:jc w:val="both"/>
        <w:textAlignment w:val="auto"/>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lang w:val="en-US" w:eastAsia="zh-CN"/>
        </w:rPr>
        <w:t>16.发挥政协委员团结引导界别群众的作用研究</w:t>
      </w:r>
    </w:p>
    <w:p>
      <w:pPr>
        <w:keepNext w:val="0"/>
        <w:keepLines w:val="0"/>
        <w:pageBreakBefore w:val="0"/>
        <w:widowControl w:val="0"/>
        <w:kinsoku/>
        <w:wordWrap/>
        <w:overflowPunct/>
        <w:topLinePunct w:val="0"/>
        <w:autoSpaceDE/>
        <w:autoSpaceDN/>
        <w:bidi w:val="0"/>
        <w:adjustRightInd/>
        <w:snapToGrid/>
        <w:spacing w:line="640" w:lineRule="exact"/>
        <w:ind w:firstLine="684" w:firstLineChars="200"/>
        <w:jc w:val="both"/>
        <w:textAlignment w:val="auto"/>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lang w:val="en-US" w:eastAsia="zh-CN"/>
        </w:rPr>
        <w:t>17.坚持和完善强化政协委员责任担当的制度研究</w:t>
      </w:r>
    </w:p>
    <w:p>
      <w:pPr>
        <w:keepNext w:val="0"/>
        <w:keepLines w:val="0"/>
        <w:pageBreakBefore w:val="0"/>
        <w:widowControl w:val="0"/>
        <w:kinsoku/>
        <w:wordWrap/>
        <w:overflowPunct/>
        <w:topLinePunct w:val="0"/>
        <w:autoSpaceDE/>
        <w:autoSpaceDN/>
        <w:bidi w:val="0"/>
        <w:adjustRightInd/>
        <w:snapToGrid/>
        <w:spacing w:line="640" w:lineRule="exact"/>
        <w:ind w:firstLine="684" w:firstLineChars="200"/>
        <w:jc w:val="both"/>
        <w:textAlignment w:val="auto"/>
        <w:rPr>
          <w:rFonts w:hint="eastAsia" w:ascii="仿宋_GB2312" w:hAnsi="仿宋_GB2312" w:eastAsia="仿宋_GB2312" w:cs="仿宋_GB2312"/>
          <w:spacing w:val="11"/>
          <w:sz w:val="32"/>
          <w:szCs w:val="32"/>
          <w:lang w:val="en-US" w:eastAsia="zh-CN"/>
        </w:rPr>
      </w:pPr>
      <w:r>
        <w:rPr>
          <w:rFonts w:hint="eastAsia" w:ascii="黑体" w:hAnsi="黑体" w:eastAsia="黑体" w:cs="黑体"/>
          <w:spacing w:val="11"/>
          <w:sz w:val="32"/>
          <w:szCs w:val="32"/>
          <w:lang w:val="en-US" w:eastAsia="zh-CN"/>
        </w:rPr>
        <w:t>七、加强市县政协工作研究</w:t>
      </w:r>
    </w:p>
    <w:p>
      <w:pPr>
        <w:keepNext w:val="0"/>
        <w:keepLines w:val="0"/>
        <w:pageBreakBefore w:val="0"/>
        <w:widowControl w:val="0"/>
        <w:kinsoku/>
        <w:wordWrap/>
        <w:overflowPunct/>
        <w:topLinePunct w:val="0"/>
        <w:autoSpaceDE/>
        <w:autoSpaceDN/>
        <w:bidi w:val="0"/>
        <w:adjustRightInd/>
        <w:snapToGrid/>
        <w:spacing w:line="640" w:lineRule="exact"/>
        <w:ind w:firstLine="684" w:firstLineChars="200"/>
        <w:jc w:val="both"/>
        <w:textAlignment w:val="auto"/>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lang w:val="en-US" w:eastAsia="zh-CN"/>
        </w:rPr>
        <w:t>18.加强和改进我省政协特色联系点工作研究</w:t>
      </w:r>
    </w:p>
    <w:p>
      <w:pPr>
        <w:keepNext w:val="0"/>
        <w:keepLines w:val="0"/>
        <w:pageBreakBefore w:val="0"/>
        <w:widowControl w:val="0"/>
        <w:kinsoku/>
        <w:wordWrap/>
        <w:overflowPunct/>
        <w:topLinePunct w:val="0"/>
        <w:autoSpaceDE/>
        <w:autoSpaceDN/>
        <w:bidi w:val="0"/>
        <w:adjustRightInd/>
        <w:snapToGrid/>
        <w:spacing w:line="640" w:lineRule="exact"/>
        <w:ind w:firstLine="684" w:firstLineChars="200"/>
        <w:jc w:val="both"/>
        <w:textAlignment w:val="auto"/>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lang w:val="en-US" w:eastAsia="zh-CN"/>
        </w:rPr>
        <w:t>19.市县政协协商工作制度化、规范化、程序化建设研究</w:t>
      </w:r>
    </w:p>
    <w:p>
      <w:pPr>
        <w:keepNext w:val="0"/>
        <w:keepLines w:val="0"/>
        <w:pageBreakBefore w:val="0"/>
        <w:widowControl w:val="0"/>
        <w:kinsoku/>
        <w:wordWrap/>
        <w:overflowPunct/>
        <w:topLinePunct w:val="0"/>
        <w:autoSpaceDE/>
        <w:autoSpaceDN/>
        <w:bidi w:val="0"/>
        <w:adjustRightInd/>
        <w:snapToGrid/>
        <w:spacing w:line="640" w:lineRule="exact"/>
        <w:ind w:firstLine="684" w:firstLineChars="200"/>
        <w:jc w:val="both"/>
        <w:textAlignment w:val="auto"/>
        <w:rPr>
          <w:rFonts w:hint="default" w:ascii="黑体" w:hAnsi="黑体" w:eastAsia="黑体" w:cs="黑体"/>
          <w:spacing w:val="11"/>
          <w:sz w:val="32"/>
          <w:szCs w:val="32"/>
          <w:lang w:val="en-US" w:eastAsia="zh-CN"/>
        </w:rPr>
      </w:pPr>
      <w:r>
        <w:rPr>
          <w:rFonts w:hint="eastAsia" w:ascii="仿宋_GB2312" w:hAnsi="仿宋_GB2312" w:eastAsia="仿宋_GB2312" w:cs="仿宋_GB2312"/>
          <w:spacing w:val="11"/>
          <w:sz w:val="32"/>
          <w:szCs w:val="32"/>
          <w:lang w:val="en-US" w:eastAsia="zh-CN"/>
        </w:rPr>
        <w:t>20.市县政协参与基层社会治理机制研究</w:t>
      </w:r>
    </w:p>
    <w:sectPr>
      <w:pgSz w:w="11906" w:h="16838"/>
      <w:pgMar w:top="2211" w:right="1814" w:bottom="1871" w:left="181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D86EFE"/>
    <w:rsid w:val="00565A18"/>
    <w:rsid w:val="008A174A"/>
    <w:rsid w:val="01E01D7D"/>
    <w:rsid w:val="07B94E56"/>
    <w:rsid w:val="08CE2C4B"/>
    <w:rsid w:val="11E13D38"/>
    <w:rsid w:val="13337FA8"/>
    <w:rsid w:val="15E56D77"/>
    <w:rsid w:val="18952FCE"/>
    <w:rsid w:val="1B8512EC"/>
    <w:rsid w:val="1BC01293"/>
    <w:rsid w:val="1D130037"/>
    <w:rsid w:val="1FC76985"/>
    <w:rsid w:val="20D713C6"/>
    <w:rsid w:val="21606C8E"/>
    <w:rsid w:val="217F5F7F"/>
    <w:rsid w:val="21EA2063"/>
    <w:rsid w:val="25791AE5"/>
    <w:rsid w:val="27704E05"/>
    <w:rsid w:val="27BF33AC"/>
    <w:rsid w:val="2DA822CF"/>
    <w:rsid w:val="2E410107"/>
    <w:rsid w:val="2F5B31BB"/>
    <w:rsid w:val="301E727D"/>
    <w:rsid w:val="350963E6"/>
    <w:rsid w:val="359065C5"/>
    <w:rsid w:val="3C2E7322"/>
    <w:rsid w:val="3E8B52A6"/>
    <w:rsid w:val="3F336A83"/>
    <w:rsid w:val="420A54D3"/>
    <w:rsid w:val="4228384B"/>
    <w:rsid w:val="43723E4A"/>
    <w:rsid w:val="43B27B91"/>
    <w:rsid w:val="456B44AB"/>
    <w:rsid w:val="4577612B"/>
    <w:rsid w:val="4731380F"/>
    <w:rsid w:val="48A35719"/>
    <w:rsid w:val="49D92C75"/>
    <w:rsid w:val="50091FFE"/>
    <w:rsid w:val="506654AA"/>
    <w:rsid w:val="52BA60F4"/>
    <w:rsid w:val="551E656D"/>
    <w:rsid w:val="55367B7B"/>
    <w:rsid w:val="55D3606F"/>
    <w:rsid w:val="55E165C0"/>
    <w:rsid w:val="57477730"/>
    <w:rsid w:val="584C65D6"/>
    <w:rsid w:val="5A884E1F"/>
    <w:rsid w:val="5CCE17EC"/>
    <w:rsid w:val="5F733FA6"/>
    <w:rsid w:val="62D86EFE"/>
    <w:rsid w:val="635876FA"/>
    <w:rsid w:val="63826768"/>
    <w:rsid w:val="64CB6275"/>
    <w:rsid w:val="65A97CC2"/>
    <w:rsid w:val="6758756B"/>
    <w:rsid w:val="678B3B35"/>
    <w:rsid w:val="67ED69CF"/>
    <w:rsid w:val="6829186D"/>
    <w:rsid w:val="68A66CAD"/>
    <w:rsid w:val="6977769D"/>
    <w:rsid w:val="69D826C9"/>
    <w:rsid w:val="72527239"/>
    <w:rsid w:val="732D739A"/>
    <w:rsid w:val="73B26296"/>
    <w:rsid w:val="740137C5"/>
    <w:rsid w:val="797C5830"/>
    <w:rsid w:val="7AFF2E4C"/>
    <w:rsid w:val="7B8E2E85"/>
    <w:rsid w:val="7D5C4B93"/>
    <w:rsid w:val="7E511745"/>
    <w:rsid w:val="7EB37C81"/>
    <w:rsid w:val="7FF90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Emphasis"/>
    <w:basedOn w:val="3"/>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2020-01-21T02:03:00Z</dcterms:created>
  <dc:creator>Administrator</dc:creator>
  <cp:lastModifiedBy>ahzx</cp:lastModifiedBy>
  <cp:lastPrinted>2020-03-04T08:24:00Z</cp:lastPrinted>
  <dcterms:modified xsi:type="dcterms:W3CDTF">2020-05-19T09:31:03Z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